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0"/>
        <w:rPr>
          <w:rFonts w:ascii="Arial" w:eastAsia="Times New Roman" w:hAnsi="Arial" w:cs="Arial"/>
          <w:b/>
          <w:kern w:val="36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val="en" w:eastAsia="en-GB"/>
        </w:rPr>
        <w:t xml:space="preserve">Medway Adult Education Learning Service </w:t>
      </w:r>
      <w:r w:rsidRPr="006D0C0E">
        <w:rPr>
          <w:rFonts w:ascii="Arial" w:eastAsia="Times New Roman" w:hAnsi="Arial" w:cs="Arial"/>
          <w:b/>
          <w:kern w:val="36"/>
          <w:sz w:val="28"/>
          <w:szCs w:val="28"/>
          <w:lang w:val="en" w:eastAsia="en-GB"/>
        </w:rPr>
        <w:t>Subcontracting Supply-chain Fees and Charges Policy</w:t>
      </w:r>
    </w:p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D0C0E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1. Policy Statement</w:t>
      </w:r>
    </w:p>
    <w:p w:rsidR="00A0035C" w:rsidRDefault="00A207F7" w:rsidP="00A0035C">
      <w:pPr>
        <w:pStyle w:val="NormalWeb"/>
        <w:shd w:val="clear" w:color="auto" w:fill="FFFFFF"/>
        <w:spacing w:line="288" w:lineRule="auto"/>
        <w:rPr>
          <w:rFonts w:ascii="Helvetica" w:hAnsi="Helvetica"/>
          <w:color w:val="242424"/>
          <w:spacing w:val="5"/>
          <w:sz w:val="20"/>
          <w:szCs w:val="20"/>
          <w:lang w:val="en"/>
        </w:rPr>
      </w:pPr>
      <w:r w:rsidRPr="00A207F7"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Medway Adult </w:t>
      </w:r>
      <w:r>
        <w:rPr>
          <w:rFonts w:ascii="Arial" w:hAnsi="Arial" w:cs="Arial"/>
          <w:color w:val="242424"/>
          <w:spacing w:val="5"/>
          <w:sz w:val="20"/>
          <w:szCs w:val="20"/>
          <w:lang w:val="en"/>
        </w:rPr>
        <w:t>Community L</w:t>
      </w:r>
      <w:r w:rsidRPr="00A207F7">
        <w:rPr>
          <w:rFonts w:ascii="Arial" w:hAnsi="Arial" w:cs="Arial"/>
          <w:color w:val="242424"/>
          <w:spacing w:val="5"/>
          <w:sz w:val="20"/>
          <w:szCs w:val="20"/>
          <w:lang w:val="en"/>
        </w:rPr>
        <w:t>earning</w:t>
      </w:r>
      <w:r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 Service</w:t>
      </w:r>
      <w:r w:rsidR="005D2029"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 </w:t>
      </w:r>
      <w:r w:rsidR="005D2029" w:rsidRPr="006539FA">
        <w:rPr>
          <w:rFonts w:ascii="Arial" w:hAnsi="Arial" w:cs="Arial"/>
          <w:spacing w:val="5"/>
          <w:sz w:val="20"/>
          <w:szCs w:val="20"/>
          <w:lang w:val="en"/>
        </w:rPr>
        <w:t>(MACLS)</w:t>
      </w:r>
      <w:r w:rsidRPr="005D2029">
        <w:rPr>
          <w:rFonts w:ascii="Arial" w:hAnsi="Arial" w:cs="Arial"/>
          <w:color w:val="FF0000"/>
          <w:spacing w:val="5"/>
          <w:sz w:val="20"/>
          <w:szCs w:val="20"/>
          <w:lang w:val="en"/>
        </w:rPr>
        <w:t xml:space="preserve"> </w:t>
      </w:r>
      <w:r w:rsidRPr="006D0C0E"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is committed </w:t>
      </w:r>
      <w:r w:rsidRPr="00A207F7"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to growing, diversifying and </w:t>
      </w:r>
      <w:r w:rsidRPr="006D0C0E">
        <w:rPr>
          <w:rFonts w:ascii="Arial" w:hAnsi="Arial" w:cs="Arial"/>
          <w:color w:val="242424"/>
          <w:spacing w:val="5"/>
          <w:sz w:val="20"/>
          <w:szCs w:val="20"/>
          <w:lang w:val="en"/>
        </w:rPr>
        <w:t>widen</w:t>
      </w:r>
      <w:r w:rsidR="003864D0" w:rsidRPr="006539FA">
        <w:rPr>
          <w:rFonts w:ascii="Arial" w:hAnsi="Arial" w:cs="Arial"/>
          <w:spacing w:val="5"/>
          <w:sz w:val="20"/>
          <w:szCs w:val="20"/>
          <w:lang w:val="en"/>
        </w:rPr>
        <w:t>ing</w:t>
      </w:r>
      <w:r w:rsidRPr="006D0C0E"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 participat</w:t>
      </w:r>
      <w:r w:rsidRPr="00A207F7">
        <w:rPr>
          <w:rFonts w:ascii="Arial" w:hAnsi="Arial" w:cs="Arial"/>
          <w:color w:val="242424"/>
          <w:spacing w:val="5"/>
          <w:sz w:val="20"/>
          <w:szCs w:val="20"/>
          <w:lang w:val="en"/>
        </w:rPr>
        <w:t>ion, by engaging</w:t>
      </w:r>
      <w:r w:rsidRPr="006D0C0E"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 in new and emerging markets and meet</w:t>
      </w:r>
      <w:r w:rsidRPr="00A207F7">
        <w:rPr>
          <w:rFonts w:ascii="Arial" w:hAnsi="Arial" w:cs="Arial"/>
          <w:color w:val="242424"/>
          <w:spacing w:val="5"/>
          <w:sz w:val="20"/>
          <w:szCs w:val="20"/>
          <w:lang w:val="en"/>
        </w:rPr>
        <w:t xml:space="preserve">ing the needs of the community and businesses in Medway. </w:t>
      </w:r>
      <w:r w:rsidR="00A0035C">
        <w:rPr>
          <w:rFonts w:ascii="Helvetica" w:hAnsi="Helvetica"/>
          <w:color w:val="242424"/>
          <w:spacing w:val="5"/>
          <w:sz w:val="20"/>
          <w:szCs w:val="20"/>
          <w:lang w:val="en"/>
        </w:rPr>
        <w:t xml:space="preserve">In order to achieve this, </w:t>
      </w:r>
      <w:r w:rsidR="006539FA">
        <w:rPr>
          <w:rFonts w:ascii="Helvetica" w:hAnsi="Helvetica"/>
          <w:color w:val="242424"/>
          <w:spacing w:val="5"/>
          <w:sz w:val="20"/>
          <w:szCs w:val="20"/>
          <w:lang w:val="en"/>
        </w:rPr>
        <w:t>Medway Adult Community learning Services (</w:t>
      </w:r>
      <w:r w:rsidR="00A0035C">
        <w:rPr>
          <w:rFonts w:ascii="Helvetica" w:hAnsi="Helvetica"/>
          <w:color w:val="242424"/>
          <w:spacing w:val="5"/>
          <w:sz w:val="20"/>
          <w:szCs w:val="20"/>
          <w:lang w:val="en"/>
        </w:rPr>
        <w:t>MACLS</w:t>
      </w:r>
      <w:r w:rsidR="006539FA">
        <w:rPr>
          <w:rFonts w:ascii="Helvetica" w:hAnsi="Helvetica"/>
          <w:color w:val="242424"/>
          <w:spacing w:val="5"/>
          <w:sz w:val="20"/>
          <w:szCs w:val="20"/>
          <w:lang w:val="en"/>
        </w:rPr>
        <w:t>)</w:t>
      </w:r>
      <w:r w:rsidR="00A0035C">
        <w:rPr>
          <w:rFonts w:ascii="Helvetica" w:hAnsi="Helvetica"/>
          <w:color w:val="242424"/>
          <w:spacing w:val="5"/>
          <w:sz w:val="20"/>
          <w:szCs w:val="20"/>
          <w:lang w:val="en"/>
        </w:rPr>
        <w:t xml:space="preserve"> has taken the strategic decision to subcontract part of its provision to partner organisations who can demonstrate high quality delivery.</w:t>
      </w:r>
    </w:p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3"/>
        <w:rPr>
          <w:rFonts w:ascii="Arial" w:eastAsia="Times New Roman" w:hAnsi="Arial" w:cs="Arial"/>
          <w:b/>
          <w:bCs/>
          <w:color w:val="09357B"/>
          <w:sz w:val="24"/>
          <w:szCs w:val="24"/>
          <w:lang w:val="en" w:eastAsia="en-GB"/>
        </w:rPr>
      </w:pPr>
      <w:r w:rsidRPr="006D0C0E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2. Scope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This policy applies to all supply chain activity supported by funds supplied by the Skills Funding Agency, the Education Funding Agency or any successor organisations.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This strategy covers two key areas of Subcontracting:</w:t>
      </w:r>
    </w:p>
    <w:p w:rsidR="00A207F7" w:rsidRPr="006D0C0E" w:rsidRDefault="00A207F7" w:rsidP="00A207F7">
      <w:pPr>
        <w:numPr>
          <w:ilvl w:val="0"/>
          <w:numId w:val="1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Provision subcontracting where there is the delivery of full programmes or frameworks by the Subcontractor</w:t>
      </w:r>
    </w:p>
    <w:p w:rsidR="00A207F7" w:rsidRPr="006D0C0E" w:rsidRDefault="00A207F7" w:rsidP="00A207F7">
      <w:pPr>
        <w:numPr>
          <w:ilvl w:val="0"/>
          <w:numId w:val="1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Service subcontracting where the delivery of a service as part of the delivery of a </w:t>
      </w:r>
      <w:proofErr w:type="spellStart"/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programme</w:t>
      </w:r>
      <w:proofErr w:type="spellEnd"/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such as procuring the delivery of part of an Apprenticeship, framework or outreach support.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Within bot</w:t>
      </w:r>
      <w:r w:rsidRPr="00A207F7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h of these cases, </w:t>
      </w:r>
      <w:r w:rsidR="006539FA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Medway Adult Community Learning Services (</w:t>
      </w:r>
      <w:r w:rsidR="005D2029"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MACLS</w:t>
      </w:r>
      <w:r w:rsid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 xml:space="preserve">) </w:t>
      </w:r>
      <w:r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 xml:space="preserve">retains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full accountability for contract delivery</w:t>
      </w: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.</w:t>
      </w:r>
    </w:p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3"/>
        <w:rPr>
          <w:rFonts w:ascii="Trebuchet MS" w:eastAsia="Times New Roman" w:hAnsi="Trebuchet MS" w:cs="Helvetica"/>
          <w:b/>
          <w:bCs/>
          <w:sz w:val="24"/>
          <w:szCs w:val="24"/>
          <w:lang w:val="en" w:eastAsia="en-GB"/>
        </w:rPr>
      </w:pPr>
      <w:r w:rsidRPr="006D0C0E">
        <w:rPr>
          <w:rFonts w:ascii="Trebuchet MS" w:eastAsia="Times New Roman" w:hAnsi="Trebuchet MS" w:cs="Helvetica"/>
          <w:b/>
          <w:bCs/>
          <w:sz w:val="24"/>
          <w:szCs w:val="24"/>
          <w:lang w:val="en" w:eastAsia="en-GB"/>
        </w:rPr>
        <w:t>3. Overarching Principle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In line with the Comm</w:t>
      </w:r>
      <w:r w:rsidR="006539FA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on Accord, Medway Adult Community Learning Service (</w:t>
      </w:r>
      <w:r w:rsidR="005D2029"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MACLS</w:t>
      </w:r>
      <w:r w:rsid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)</w:t>
      </w:r>
      <w:r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 xml:space="preserve"> will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commit to the overarching principle to </w:t>
      </w:r>
      <w:proofErr w:type="spellStart"/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optimise</w:t>
      </w:r>
      <w:proofErr w:type="spellEnd"/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the impact and effectiveness of service delivery to the end user by:</w:t>
      </w:r>
    </w:p>
    <w:p w:rsidR="00A207F7" w:rsidRPr="006D0C0E" w:rsidRDefault="00A207F7" w:rsidP="00A207F7">
      <w:pPr>
        <w:numPr>
          <w:ilvl w:val="0"/>
          <w:numId w:val="2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Aligning our processes with the LSIS Supply Chain Management document.</w:t>
      </w:r>
    </w:p>
    <w:p w:rsidR="00A207F7" w:rsidRPr="006D0C0E" w:rsidRDefault="00A207F7" w:rsidP="00A207F7">
      <w:pPr>
        <w:numPr>
          <w:ilvl w:val="0"/>
          <w:numId w:val="2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Undertaking fair and transparent procurement activities, conducting robust due diligence procedures.</w:t>
      </w:r>
    </w:p>
    <w:p w:rsidR="00A207F7" w:rsidRPr="006D0C0E" w:rsidRDefault="00A207F7" w:rsidP="00A207F7">
      <w:pPr>
        <w:numPr>
          <w:ilvl w:val="0"/>
          <w:numId w:val="2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Relating the management fee to the costs of the services provided</w:t>
      </w:r>
      <w:r w:rsidR="003864D0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.</w:t>
      </w:r>
    </w:p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D0C0E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4. Subcontracting Rationale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Upon commencement of the subcon</w:t>
      </w:r>
      <w:r w:rsidRPr="00A207F7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tracting process, </w:t>
      </w:r>
      <w:r w:rsidR="006539FA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Medway Adult Community Learning (</w:t>
      </w:r>
      <w:r w:rsidR="005D2029"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MACLS</w:t>
      </w:r>
      <w:r w:rsid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)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will consider a Business Case Proposal to ensure that the subcontracting will be in the best interests of all parties.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We will ensure that:</w:t>
      </w:r>
    </w:p>
    <w:p w:rsidR="00A207F7" w:rsidRPr="006D0C0E" w:rsidRDefault="00A207F7" w:rsidP="00A207F7">
      <w:pPr>
        <w:numPr>
          <w:ilvl w:val="0"/>
          <w:numId w:val="3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The proposed delivery is in the best interests of learners and employers</w:t>
      </w:r>
    </w:p>
    <w:p w:rsidR="00A207F7" w:rsidRPr="006D0C0E" w:rsidRDefault="00A207F7" w:rsidP="00A207F7">
      <w:pPr>
        <w:numPr>
          <w:ilvl w:val="0"/>
          <w:numId w:val="3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lastRenderedPageBreak/>
        <w:t>Th</w:t>
      </w:r>
      <w:r w:rsidRPr="00A207F7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e proposed delivery meets our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strategic</w:t>
      </w:r>
      <w:r w:rsidRPr="00A207F7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mission, objectives and values</w:t>
      </w:r>
    </w:p>
    <w:p w:rsidR="00A207F7" w:rsidRPr="006D0C0E" w:rsidRDefault="00A207F7" w:rsidP="00A207F7">
      <w:pPr>
        <w:numPr>
          <w:ilvl w:val="0"/>
          <w:numId w:val="3"/>
        </w:numPr>
        <w:shd w:val="clear" w:color="auto" w:fill="FFFFFF"/>
        <w:spacing w:after="0" w:line="288" w:lineRule="auto"/>
        <w:ind w:left="150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There is suffici</w:t>
      </w:r>
      <w:r w:rsidRPr="00A207F7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ent expertise within the Medway Adult Community Learning Services</w:t>
      </w:r>
      <w:r w:rsidR="006539FA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(MACLS)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to quality assure the provision</w:t>
      </w:r>
    </w:p>
    <w:p w:rsidR="00A207F7" w:rsidRPr="006D0C0E" w:rsidRDefault="00A207F7" w:rsidP="00A207F7">
      <w:pPr>
        <w:numPr>
          <w:ilvl w:val="0"/>
          <w:numId w:val="3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There is sufficient staff resource in support areas to administer the processes</w:t>
      </w:r>
    </w:p>
    <w:p w:rsidR="00A207F7" w:rsidRPr="006D0C0E" w:rsidRDefault="00A207F7" w:rsidP="00A207F7">
      <w:pPr>
        <w:numPr>
          <w:ilvl w:val="0"/>
          <w:numId w:val="3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The Subcontractor is approved by our </w:t>
      </w:r>
      <w:r w:rsidRPr="00A207F7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robust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due-diligence process</w:t>
      </w:r>
    </w:p>
    <w:p w:rsidR="00A207F7" w:rsidRPr="006D0C0E" w:rsidRDefault="00A207F7" w:rsidP="00A207F7">
      <w:pPr>
        <w:numPr>
          <w:ilvl w:val="0"/>
          <w:numId w:val="3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There is sufficient funding available within our funding contract</w:t>
      </w:r>
    </w:p>
    <w:p w:rsidR="00A207F7" w:rsidRPr="006D0C0E" w:rsidRDefault="00A207F7" w:rsidP="00A207F7">
      <w:pPr>
        <w:numPr>
          <w:ilvl w:val="0"/>
          <w:numId w:val="3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The Subcontractor agrees to work within the terms of our contract</w:t>
      </w:r>
    </w:p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D0C0E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5. Improving the Quality of Teaching and Learning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Subcontracted partners will be e</w:t>
      </w:r>
      <w:r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xpected to meet </w:t>
      </w:r>
      <w:r w:rsidR="006539FA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Medway Adult Community Learning Service (</w:t>
      </w:r>
      <w:r w:rsidR="006539FA"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MACLS</w:t>
      </w:r>
      <w:r w:rsid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)</w:t>
      </w:r>
      <w:r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 xml:space="preserve"> quality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assur</w:t>
      </w:r>
      <w:r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ance standards with </w:t>
      </w:r>
      <w:r w:rsidR="006539FA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Medway Adult Learning Service (</w:t>
      </w:r>
      <w:r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MACLS</w:t>
      </w:r>
      <w:r w:rsidR="006539FA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)</w:t>
      </w:r>
      <w:r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being committed to supporting, developing and sharing good practice and professional development of staff through quality reviews, operational meetings, observations of teaching and learning and learner and employer feedback.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The quality of the provision will be monitored and managed through our existing quality improv</w:t>
      </w:r>
      <w:r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ement process with MACLS Self-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Assessment Report / Quality Improvement Plan process ensuring continuous improvement in all parts of the learner journey.</w:t>
      </w:r>
    </w:p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D0C0E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6. Management Fees</w:t>
      </w:r>
    </w:p>
    <w:p w:rsidR="00A207F7" w:rsidRPr="006D0C0E" w:rsidRDefault="006539FA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Medway Adult Learning Services (MACLS)</w:t>
      </w:r>
      <w:r w:rsidR="00A207F7" w:rsidRPr="002955BC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</w:t>
      </w:r>
      <w:r w:rsidR="00A207F7"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retains a management fee from all subcontracted partner organisat</w:t>
      </w:r>
      <w:r w:rsidR="00A207F7" w:rsidRPr="002955BC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ions, with this ranging from 15</w:t>
      </w:r>
      <w:r w:rsidR="00A207F7"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% to 18%. The fees charged reflect the cost of the procurement process and the management of the contracts.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The exact m</w:t>
      </w:r>
      <w:r w:rsidRPr="002955BC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ix and level of support for our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Subcontractor</w:t>
      </w:r>
      <w:r w:rsidRPr="002955BC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s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will vary depending on the needs of the individual Subcontractor. However, they will receive a high level of support and guidance and </w:t>
      </w:r>
      <w:r w:rsidRPr="002955BC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access to</w:t>
      </w:r>
      <w:r w:rsidRPr="005D2029">
        <w:rPr>
          <w:rFonts w:ascii="Arial" w:eastAsia="Times New Roman" w:hAnsi="Arial" w:cs="Arial"/>
          <w:color w:val="FF0000"/>
          <w:spacing w:val="5"/>
          <w:sz w:val="20"/>
          <w:szCs w:val="20"/>
          <w:lang w:val="en" w:eastAsia="en-GB"/>
        </w:rPr>
        <w:t xml:space="preserve"> </w:t>
      </w:r>
      <w:r w:rsidR="006539FA"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 xml:space="preserve">Medway Adult Learning Service </w:t>
      </w:r>
      <w:r w:rsid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(</w:t>
      </w:r>
      <w:r w:rsidR="005D2029"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MACLS</w:t>
      </w:r>
      <w:r w:rsid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>)</w:t>
      </w:r>
      <w:r w:rsidRPr="006539FA">
        <w:rPr>
          <w:rFonts w:ascii="Arial" w:eastAsia="Times New Roman" w:hAnsi="Arial" w:cs="Arial"/>
          <w:spacing w:val="5"/>
          <w:sz w:val="20"/>
          <w:szCs w:val="20"/>
          <w:lang w:val="en" w:eastAsia="en-GB"/>
        </w:rPr>
        <w:t xml:space="preserve">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systems, including: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Quality management systems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Certification and registration with awarding bodies if required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Management Information Services and data control advice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Audit of management systems and delivery and observation of teaching, learning and assessment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Subcontracting Supply-chain Fees and Ch</w:t>
      </w:r>
      <w:r w:rsidRPr="002955BC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arging Policy – April 14</w:t>
      </w:r>
      <w:r w:rsidR="00D35A35" w:rsidRPr="002955BC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 xml:space="preserve"> </w:t>
      </w: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Version 1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Safeguarding of Young People and Vulnerable Adults procedures</w:t>
      </w:r>
    </w:p>
    <w:p w:rsidR="00A207F7" w:rsidRPr="006D0C0E" w:rsidRDefault="00A207F7" w:rsidP="002955BC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Health and Safety compliance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Teaching, Learning and Assessment observations and coaching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CPD Opportunities and planned training and development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Policy development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Support with Funding Rules compliance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Regular national updates regarding funding and policy guidance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Bi monthly Network Meetings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Equality and diversity support</w:t>
      </w:r>
    </w:p>
    <w:p w:rsidR="00A207F7" w:rsidRPr="006D0C0E" w:rsidRDefault="00A207F7" w:rsidP="00A207F7">
      <w:pPr>
        <w:numPr>
          <w:ilvl w:val="0"/>
          <w:numId w:val="4"/>
        </w:numPr>
        <w:shd w:val="clear" w:color="auto" w:fill="FFFFFF"/>
        <w:spacing w:after="0" w:line="288" w:lineRule="auto"/>
        <w:ind w:left="150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t>Administration of the AGE Grant process</w:t>
      </w:r>
    </w:p>
    <w:p w:rsidR="006539FA" w:rsidRDefault="00A207F7" w:rsidP="006539FA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  <w:lastRenderedPageBreak/>
        <w:t>Not all Subcontractors are charged the same management fee with the differences in fees being dependent upon the level of support required, the experience of the Subcontractor, their target learners; their track record, published success rates and the level of risk as determined by the due diligence process.</w:t>
      </w:r>
    </w:p>
    <w:p w:rsidR="00A207F7" w:rsidRPr="006539FA" w:rsidRDefault="00A207F7" w:rsidP="006539FA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7. Payment Arrangements</w:t>
      </w:r>
    </w:p>
    <w:p w:rsidR="00A207F7" w:rsidRPr="006D0C0E" w:rsidRDefault="00A207F7" w:rsidP="00A207F7">
      <w:pPr>
        <w:numPr>
          <w:ilvl w:val="0"/>
          <w:numId w:val="5"/>
        </w:numPr>
        <w:shd w:val="clear" w:color="auto" w:fill="FFFFFF"/>
        <w:spacing w:after="0" w:line="288" w:lineRule="auto"/>
        <w:ind w:left="150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Payments are made on a monthly basis by the end of the following month in which the activity is successfully processed and uploaded to the </w:t>
      </w:r>
      <w:r w:rsidR="002955BC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Data Service by</w:t>
      </w:r>
      <w:r w:rsidR="006539FA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 Medway Adult Community Service (MACLS)</w:t>
      </w:r>
    </w:p>
    <w:p w:rsidR="00A207F7" w:rsidRPr="006D0C0E" w:rsidRDefault="00A207F7" w:rsidP="00A207F7">
      <w:pPr>
        <w:numPr>
          <w:ilvl w:val="0"/>
          <w:numId w:val="5"/>
        </w:numPr>
        <w:shd w:val="clear" w:color="auto" w:fill="FFFFFF"/>
        <w:spacing w:after="0" w:line="288" w:lineRule="auto"/>
        <w:ind w:left="150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Following validation of the evidenc</w:t>
      </w:r>
      <w:r w:rsidR="002955BC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e in the ILR return, </w:t>
      </w:r>
      <w:r w:rsidR="006539FA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Medway Adult Community Learning Service (</w:t>
      </w:r>
      <w:r w:rsidR="002955BC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MACLS</w:t>
      </w:r>
      <w:r w:rsidR="006539FA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)</w:t>
      </w: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 will </w:t>
      </w:r>
      <w:r w:rsidR="00C77DE5" w:rsidRPr="00ED1324">
        <w:rPr>
          <w:rFonts w:ascii="Helvetica" w:eastAsia="Times New Roman" w:hAnsi="Helvetica" w:cs="Helvetica"/>
          <w:spacing w:val="5"/>
          <w:sz w:val="20"/>
          <w:szCs w:val="20"/>
          <w:lang w:val="en" w:eastAsia="en-GB"/>
        </w:rPr>
        <w:t>authorise/</w:t>
      </w:r>
      <w:r w:rsidRPr="00ED1324">
        <w:rPr>
          <w:rFonts w:ascii="Helvetica" w:eastAsia="Times New Roman" w:hAnsi="Helvetica" w:cs="Helvetica"/>
          <w:spacing w:val="5"/>
          <w:sz w:val="20"/>
          <w:szCs w:val="20"/>
          <w:lang w:val="en" w:eastAsia="en-GB"/>
        </w:rPr>
        <w:t>make</w:t>
      </w: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 the appropriate payment to the Subcontractor based on the level of income calculated by the validation process in that month less the agreed management fee</w:t>
      </w:r>
    </w:p>
    <w:p w:rsidR="00A207F7" w:rsidRPr="006D0C0E" w:rsidRDefault="003864D0" w:rsidP="00A207F7">
      <w:pPr>
        <w:numPr>
          <w:ilvl w:val="0"/>
          <w:numId w:val="5"/>
        </w:numPr>
        <w:shd w:val="clear" w:color="auto" w:fill="FFFFFF"/>
        <w:spacing w:after="0" w:line="288" w:lineRule="auto"/>
        <w:ind w:left="150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 w:rsidRPr="00ED1324">
        <w:rPr>
          <w:rFonts w:ascii="Helvetica" w:eastAsia="Times New Roman" w:hAnsi="Helvetica" w:cs="Helvetica"/>
          <w:spacing w:val="5"/>
          <w:sz w:val="20"/>
          <w:szCs w:val="20"/>
          <w:lang w:val="en" w:eastAsia="en-GB"/>
        </w:rPr>
        <w:t>Invoices must be addressed to Medway Council</w:t>
      </w:r>
      <w:r w:rsidR="00C77DE5" w:rsidRPr="00ED1324">
        <w:rPr>
          <w:rFonts w:ascii="Helvetica" w:eastAsia="Times New Roman" w:hAnsi="Helvetica" w:cs="Helvetica"/>
          <w:spacing w:val="5"/>
          <w:sz w:val="20"/>
          <w:szCs w:val="20"/>
          <w:lang w:val="en" w:eastAsia="en-GB"/>
        </w:rPr>
        <w:t xml:space="preserve"> at the Rochester hub</w:t>
      </w:r>
      <w:r w:rsidR="00A207F7" w:rsidRPr="00ED1324">
        <w:rPr>
          <w:rFonts w:ascii="Helvetica" w:eastAsia="Times New Roman" w:hAnsi="Helvetica" w:cs="Helvetica"/>
          <w:spacing w:val="5"/>
          <w:sz w:val="20"/>
          <w:szCs w:val="20"/>
          <w:lang w:val="en" w:eastAsia="en-GB"/>
        </w:rPr>
        <w:t xml:space="preserve">. </w:t>
      </w:r>
      <w:r w:rsidR="00A207F7"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Payments are made by BACS</w:t>
      </w:r>
      <w:r w:rsidR="00C77DE5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.</w:t>
      </w:r>
    </w:p>
    <w:p w:rsidR="00A207F7" w:rsidRPr="006D0C0E" w:rsidRDefault="002955BC" w:rsidP="00A207F7">
      <w:pPr>
        <w:numPr>
          <w:ilvl w:val="0"/>
          <w:numId w:val="5"/>
        </w:numPr>
        <w:shd w:val="clear" w:color="auto" w:fill="FFFFFF"/>
        <w:spacing w:after="0" w:line="288" w:lineRule="auto"/>
        <w:ind w:left="150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MACLS</w:t>
      </w:r>
      <w:r w:rsidR="00A207F7"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 expects that the Subcontractors will fully engage in the assessment of accuracy of payments and they therefore have the responsibility to review their monthly remittance advices to identify any inaccuracies.</w:t>
      </w:r>
    </w:p>
    <w:p w:rsidR="00A207F7" w:rsidRPr="006D0C0E" w:rsidRDefault="00A207F7" w:rsidP="00A207F7">
      <w:pPr>
        <w:shd w:val="clear" w:color="auto" w:fill="FFFFFF"/>
        <w:spacing w:before="100" w:beforeAutospacing="1" w:after="150" w:line="264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D0C0E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8. Policy Communication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The Policy is available</w:t>
      </w:r>
      <w:r w:rsidR="00ED1324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 on-line</w:t>
      </w:r>
      <w:hyperlink r:id="rId9" w:history="1">
        <w:r w:rsidR="005D2029" w:rsidRPr="002D3E39">
          <w:rPr>
            <w:rStyle w:val="Hyperlink"/>
            <w:rFonts w:ascii="Helvetica" w:eastAsia="Times New Roman" w:hAnsi="Helvetica" w:cs="Helvetica"/>
            <w:spacing w:val="5"/>
            <w:sz w:val="20"/>
            <w:szCs w:val="20"/>
            <w:lang w:val="en" w:eastAsia="en-GB"/>
          </w:rPr>
          <w:t>http://www.medway.gov.uk/educationandlearning/adultlearning.aspx</w:t>
        </w:r>
      </w:hyperlink>
      <w:r w:rsidR="005D2029">
        <w:rPr>
          <w:rFonts w:ascii="Helvetica" w:eastAsia="Times New Roman" w:hAnsi="Helvetica" w:cs="Helvetica"/>
          <w:color w:val="09357B"/>
          <w:spacing w:val="5"/>
          <w:sz w:val="20"/>
          <w:szCs w:val="20"/>
          <w:lang w:val="en" w:eastAsia="en-GB"/>
        </w:rPr>
        <w:t xml:space="preserve"> </w:t>
      </w: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and can be made available in alternative </w:t>
      </w:r>
      <w:r w:rsidR="002955BC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format or language upon request?</w:t>
      </w:r>
    </w:p>
    <w:p w:rsidR="00A207F7" w:rsidRPr="006D0C0E" w:rsidRDefault="00A207F7" w:rsidP="00A207F7">
      <w:pPr>
        <w:shd w:val="clear" w:color="auto" w:fill="FFFFFF"/>
        <w:spacing w:before="100" w:beforeAutospacing="1" w:after="100" w:afterAutospacing="1" w:line="288" w:lineRule="auto"/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</w:pP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The Policy will be discussed with all current and future Subcontractors during contract negotiation meetings and re</w:t>
      </w:r>
      <w:r w:rsidR="002955BC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>viewed at least annually in September</w:t>
      </w:r>
      <w:r w:rsidRPr="006D0C0E">
        <w:rPr>
          <w:rFonts w:ascii="Helvetica" w:eastAsia="Times New Roman" w:hAnsi="Helvetica" w:cs="Helvetica"/>
          <w:color w:val="242424"/>
          <w:spacing w:val="5"/>
          <w:sz w:val="20"/>
          <w:szCs w:val="20"/>
          <w:lang w:val="en" w:eastAsia="en-GB"/>
        </w:rPr>
        <w:t xml:space="preserve"> of each year. Any changes will be notified to subcontractors as part of their regular performance review or via separate correspondence.</w:t>
      </w:r>
    </w:p>
    <w:p w:rsidR="00A207F7" w:rsidRDefault="00A207F7" w:rsidP="00A207F7"/>
    <w:p w:rsidR="009B5DAA" w:rsidRDefault="009B5DAA"/>
    <w:sectPr w:rsidR="009B5D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3D" w:rsidRDefault="00BD213D" w:rsidP="00F43348">
      <w:pPr>
        <w:spacing w:after="0" w:line="240" w:lineRule="auto"/>
      </w:pPr>
      <w:r>
        <w:separator/>
      </w:r>
    </w:p>
  </w:endnote>
  <w:endnote w:type="continuationSeparator" w:id="0">
    <w:p w:rsidR="00BD213D" w:rsidRDefault="00BD213D" w:rsidP="00F4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69" w:rsidRDefault="00F74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4"/>
      <w:gridCol w:w="3250"/>
      <w:gridCol w:w="2835"/>
    </w:tblGrid>
    <w:tr w:rsidR="00F43348" w:rsidRPr="00F43348" w:rsidTr="00295CDE">
      <w:tc>
        <w:tcPr>
          <w:tcW w:w="2954" w:type="dxa"/>
        </w:tcPr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t>Issue No: 1</w:t>
          </w:r>
        </w:p>
      </w:tc>
      <w:tc>
        <w:tcPr>
          <w:tcW w:w="3250" w:type="dxa"/>
        </w:tcPr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Next Review: Jun-15</w:t>
          </w:r>
        </w:p>
      </w:tc>
      <w:tc>
        <w:tcPr>
          <w:tcW w:w="2835" w:type="dxa"/>
        </w:tcPr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Page </w:t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instrText xml:space="preserve"> PAGE </w:instrText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8D0E57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1</w:t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of </w:t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instrText xml:space="preserve"> NUMPAGES </w:instrText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8D0E57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3</w:t>
          </w: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F43348" w:rsidRPr="00F43348" w:rsidTr="00295CDE">
      <w:tc>
        <w:tcPr>
          <w:tcW w:w="9039" w:type="dxa"/>
          <w:gridSpan w:val="3"/>
        </w:tcPr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t>This is a controlled document. ALL changes MUST be authorized.</w:t>
          </w:r>
        </w:p>
      </w:tc>
    </w:tr>
  </w:tbl>
  <w:p w:rsidR="00F43348" w:rsidRDefault="00F433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69" w:rsidRDefault="00F74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3D" w:rsidRDefault="00BD213D" w:rsidP="00F43348">
      <w:pPr>
        <w:spacing w:after="0" w:line="240" w:lineRule="auto"/>
      </w:pPr>
      <w:r>
        <w:separator/>
      </w:r>
    </w:p>
  </w:footnote>
  <w:footnote w:type="continuationSeparator" w:id="0">
    <w:p w:rsidR="00BD213D" w:rsidRDefault="00BD213D" w:rsidP="00F4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69" w:rsidRDefault="00F74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6"/>
      <w:gridCol w:w="5076"/>
      <w:gridCol w:w="2127"/>
    </w:tblGrid>
    <w:tr w:rsidR="00F43348" w:rsidRPr="00F43348" w:rsidTr="00F43348">
      <w:trPr>
        <w:trHeight w:val="1111"/>
      </w:trPr>
      <w:tc>
        <w:tcPr>
          <w:tcW w:w="1836" w:type="dxa"/>
        </w:tcPr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4334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0898C57D" wp14:editId="67DD0FC5">
                <wp:extent cx="1025237" cy="704850"/>
                <wp:effectExtent l="0" t="0" r="3810" b="0"/>
                <wp:docPr id="1" name="Picture 1" descr="U:\My Pictures\Medway Logos\MEDCouncil colstrapline2 (WinCE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My Pictures\Medway Logos\MEDCouncil colstrapline2 (WinC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093" cy="705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  <w:vAlign w:val="center"/>
        </w:tcPr>
        <w:p w:rsidR="00F43348" w:rsidRPr="00F43348" w:rsidRDefault="00F43348" w:rsidP="00F43348">
          <w:pPr>
            <w:shd w:val="clear" w:color="auto" w:fill="FFFFFF"/>
            <w:spacing w:before="100" w:beforeAutospacing="1" w:after="150" w:line="264" w:lineRule="auto"/>
            <w:jc w:val="center"/>
            <w:outlineLvl w:val="0"/>
            <w:rPr>
              <w:rFonts w:ascii="Times New Roman" w:eastAsia="Times New Roman" w:hAnsi="Times New Roman" w:cs="Times New Roman"/>
              <w:sz w:val="40"/>
              <w:szCs w:val="40"/>
            </w:rPr>
          </w:pPr>
          <w:r w:rsidRPr="00F43348">
            <w:rPr>
              <w:rFonts w:ascii="Arial" w:eastAsia="Times New Roman" w:hAnsi="Arial" w:cs="Arial"/>
              <w:b/>
              <w:kern w:val="36"/>
              <w:lang w:val="en" w:eastAsia="en-GB"/>
            </w:rPr>
            <w:t>Medway Adult Education Learning Service Subcontracting Supply-chain Fees and Charges Policy</w:t>
          </w:r>
        </w:p>
      </w:tc>
      <w:tc>
        <w:tcPr>
          <w:tcW w:w="2127" w:type="dxa"/>
        </w:tcPr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DOC ID:  </w:t>
          </w:r>
          <w:r w:rsidR="008D0E57">
            <w:rPr>
              <w:rFonts w:ascii="Times New Roman" w:eastAsia="Times New Roman" w:hAnsi="Times New Roman" w:cs="Times New Roman"/>
              <w:sz w:val="18"/>
              <w:szCs w:val="18"/>
            </w:rPr>
            <w:t>QA110</w:t>
          </w:r>
          <w:bookmarkStart w:id="0" w:name="_GoBack"/>
          <w:bookmarkEnd w:id="0"/>
        </w:p>
        <w:p w:rsidR="00F43348" w:rsidRPr="00F43348" w:rsidRDefault="00F74A69" w:rsidP="00F4334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Author: C. Traxle</w:t>
          </w:r>
          <w:r w:rsidR="00F43348">
            <w:rPr>
              <w:rFonts w:ascii="Times New Roman" w:eastAsia="Times New Roman" w:hAnsi="Times New Roman" w:cs="Times New Roman"/>
              <w:sz w:val="18"/>
              <w:szCs w:val="18"/>
            </w:rPr>
            <w:t>r</w:t>
          </w:r>
        </w:p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F43348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Approved by: </w:t>
          </w:r>
          <w:r w:rsidR="00F74A69">
            <w:rPr>
              <w:rFonts w:ascii="Times New Roman" w:eastAsia="Times New Roman" w:hAnsi="Times New Roman" w:cs="Times New Roman"/>
              <w:sz w:val="18"/>
              <w:szCs w:val="18"/>
            </w:rPr>
            <w:t>C. Traxle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>r</w:t>
          </w:r>
        </w:p>
        <w:p w:rsidR="00F43348" w:rsidRPr="00F43348" w:rsidRDefault="00F43348" w:rsidP="00F4334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Issue date : 12/06/2014</w:t>
          </w:r>
        </w:p>
      </w:tc>
    </w:tr>
  </w:tbl>
  <w:p w:rsidR="00F43348" w:rsidRDefault="00F433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69" w:rsidRDefault="00F74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AA3"/>
    <w:multiLevelType w:val="multilevel"/>
    <w:tmpl w:val="D9A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6B4216"/>
    <w:multiLevelType w:val="multilevel"/>
    <w:tmpl w:val="F9B2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511DE"/>
    <w:multiLevelType w:val="multilevel"/>
    <w:tmpl w:val="3BD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E6972"/>
    <w:multiLevelType w:val="multilevel"/>
    <w:tmpl w:val="360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522E37"/>
    <w:multiLevelType w:val="multilevel"/>
    <w:tmpl w:val="5920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F7"/>
    <w:rsid w:val="002576C1"/>
    <w:rsid w:val="002955BC"/>
    <w:rsid w:val="003864D0"/>
    <w:rsid w:val="005D2029"/>
    <w:rsid w:val="006539FA"/>
    <w:rsid w:val="008D0E57"/>
    <w:rsid w:val="00936C89"/>
    <w:rsid w:val="009B5DAA"/>
    <w:rsid w:val="00A0035C"/>
    <w:rsid w:val="00A207F7"/>
    <w:rsid w:val="00B10FC5"/>
    <w:rsid w:val="00BD213D"/>
    <w:rsid w:val="00C77DE5"/>
    <w:rsid w:val="00D35A35"/>
    <w:rsid w:val="00ED1324"/>
    <w:rsid w:val="00F43348"/>
    <w:rsid w:val="00F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5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48"/>
  </w:style>
  <w:style w:type="paragraph" w:styleId="Footer">
    <w:name w:val="footer"/>
    <w:basedOn w:val="Normal"/>
    <w:link w:val="FooterChar"/>
    <w:uiPriority w:val="99"/>
    <w:unhideWhenUsed/>
    <w:rsid w:val="00F4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48"/>
  </w:style>
  <w:style w:type="paragraph" w:styleId="BalloonText">
    <w:name w:val="Balloon Text"/>
    <w:basedOn w:val="Normal"/>
    <w:link w:val="BalloonTextChar"/>
    <w:uiPriority w:val="99"/>
    <w:semiHidden/>
    <w:unhideWhenUsed/>
    <w:rsid w:val="00F4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5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48"/>
  </w:style>
  <w:style w:type="paragraph" w:styleId="Footer">
    <w:name w:val="footer"/>
    <w:basedOn w:val="Normal"/>
    <w:link w:val="FooterChar"/>
    <w:uiPriority w:val="99"/>
    <w:unhideWhenUsed/>
    <w:rsid w:val="00F4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48"/>
  </w:style>
  <w:style w:type="paragraph" w:styleId="BalloonText">
    <w:name w:val="Balloon Text"/>
    <w:basedOn w:val="Normal"/>
    <w:link w:val="BalloonTextChar"/>
    <w:uiPriority w:val="99"/>
    <w:semiHidden/>
    <w:unhideWhenUsed/>
    <w:rsid w:val="00F4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0460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11161007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185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dway.gov.uk/educationandlearning/adultlearning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50F3-4681-4BE8-9718-EF5356B5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traxler, carol</dc:creator>
  <cp:lastModifiedBy>Windows User</cp:lastModifiedBy>
  <cp:revision>5</cp:revision>
  <dcterms:created xsi:type="dcterms:W3CDTF">2014-06-12T07:52:00Z</dcterms:created>
  <dcterms:modified xsi:type="dcterms:W3CDTF">2014-07-07T08:00:00Z</dcterms:modified>
</cp:coreProperties>
</file>